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200"/>
        <w:gridCol w:w="600"/>
        <w:gridCol w:w="1000"/>
        <w:gridCol w:w="760"/>
        <w:gridCol w:w="280"/>
        <w:gridCol w:w="160"/>
        <w:gridCol w:w="200"/>
        <w:gridCol w:w="600"/>
        <w:gridCol w:w="200"/>
        <w:gridCol w:w="2200"/>
        <w:gridCol w:w="1840"/>
        <w:gridCol w:w="280"/>
        <w:gridCol w:w="560"/>
        <w:gridCol w:w="1120"/>
        <w:gridCol w:w="180"/>
        <w:gridCol w:w="20"/>
        <w:gridCol w:w="4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Rule="auto" w:line="240" w:after="0" w:before="0"/>
            </w:pPr>
            <w:r>
              <w:rPr/>
              <w:drawing>
                <wp:inline distT="0" distB="0" distL="0" distR="0">
                  <wp:extent cx="1092200" cy="1092200"/>
                  <wp:effectExtent l="0" t="0" r="0" b="0"/>
                  <wp:docPr id="1860496388" name="Picture">
</wp:docPr>
                  <a:graphic>
                    <a:graphicData uri="http://schemas.openxmlformats.org/drawingml/2006/picture">
                      <pic:pic>
                        <pic:nvPicPr>
                          <pic:cNvPr id="1860496388" name="Picture"/>
                          <pic:cNvPicPr/>
                        </pic:nvPicPr>
                        <pic:blipFill>
                          <a:blip r:embed="img_0_0_1.png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spacing w:lineRule="auto" w:line="240" w:after="0" w:before="0"/>
            </w:pPr>
            <w:r>
              <w:rPr/>
              <w:drawing>
                <wp:inline distT="0" distB="0" distL="0" distR="0">
                  <wp:extent cx="635000" cy="571500"/>
                  <wp:effectExtent l="0" t="0" r="0" b="0"/>
                  <wp:docPr id="761864477" name="Picture">
</wp:docPr>
                  <a:graphic>
                    <a:graphicData uri="http://schemas.openxmlformats.org/drawingml/2006/picture">
                      <pic:pic>
                        <pic:nvPicPr>
                          <pic:cNvPr id="761864477" name="Picture"/>
                          <pic:cNvPicPr/>
                        </pic:nvPicPr>
                        <pic:blipFill>
                          <a:blip r:embed="img_0_0_3.png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5715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ЕВРАЗИЙСКИЙ ЭКОНОМИЧЕСКИЙ СОЮЗ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ДЕКЛАРАЦИЯ О СООТВЕТСТВИИ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Заявитель: 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ОБЩЕСТВО С ОГРАНИЧЕННОЙ ОТВЕТСТВЕННОСТЬЮ "ТРАНСФЕР", Место нахождения: 630005, Россия, Новосибирская область, г Новосибирск, ул фрунзе, Д. 96,  , Офис   800б      , ОГРН: 1215400044936, Номер телефона: +7 9039976677, Адрес электронной почты: rva@sibtransasia.ru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В лице: 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Директор Клименко Александр Сергеевич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заявляет, что   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Электрический нагреватель воды в аквариумах бытового назначения</w:t>
              <w:br/>
              <w:t xml:space="preserve">SDH -318-50W </w:t>
              <w:br/>
              <w:t xml:space="preserve">SDH -318-100W </w:t>
              <w:br/>
              <w:t xml:space="preserve">SDH -318-200W </w:t>
              <w:br/>
              <w:t xml:space="preserve">SDH -318-300W </w:t>
              <w:br/>
              <w:t xml:space="preserve">SDH -328-50W </w:t>
              <w:br/>
              <w:t xml:space="preserve">SDH -328-100W </w:t>
              <w:br/>
              <w:t xml:space="preserve">SDH -328-200W </w:t>
              <w:br/>
              <w:t xml:space="preserve">SDH -328-300W</w:t>
              <w:br/>
              <w:t xml:space="preserve">, TM SHANDA</w:t>
              <w:br/>
            </w:r>
            <w:r>
              <w:rPr>
                <w:rFonts w:ascii="Arial" w:hAnsi="Arial" w:eastAsia="Arial" w:cs="Arial"/>
                <w:color w:val="000000"/>
                <w:sz w:val="20"/>
                <w:b w:val="true"/>
              </w:rPr>
              <w:t xml:space="preserve">Изготовитель: 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HAIJING AQUARIUM INTERNATIONAL LIMITED, Место нахождения: Китай, No.1 DongBianWei Industrial park, XiaXi Road, NanHai Guicheng, Foshan, Guangdong, Адрес места осуществления деятельности по изготовлению продукции: Китай, No.1 DongBianWei Industrial park, XiaXi Road, NanHai Guicheng, Foshan, Guangdong</w:t>
              <w:br/>
              <w:t xml:space="preserve">Коды ТН ВЭД ЕАЭС: 8516108000</w:t>
              <w:br/>
              <w:t xml:space="preserve">Серийный выпуск,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Соответствует требованиям   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ТР ЕАЭС 037/2016 Об ограничении применения опасных веществ в изделиях электротехники и радиоэлектроники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Декларация о соответствии принята на основании протокола 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11-6389-2022 выдан 10.11.2022  испытательной лабораторией "Испытательная лаборатория "ЕАЭС" ООО «Единое агентство экспертизы и сертификации» , аттестат аккредитации РОСС RU.З2001.04ИБФ1.ИЛ43 от 13.12.2021"; Схема декларирования: 1д;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Дополнительная информация </w:t>
            </w:r>
            <w:r>
              <w:rPr>
                <w:rFonts w:ascii="Arial" w:hAnsi="Arial" w:eastAsia="Arial" w:cs="Arial"/>
                <w:color w:val="000000"/>
                <w:sz w:val="14"/>
              </w:rPr>
              <w:t xml:space="preserve">Стандарты и иные нормативные документы: ГОСТ, IEC 62321-3-1-2016 «Определение регламентированных веществ в электротехнических изделиях. Часть 3-1. Скрининг. Анализ свинца, ртути, кадмия, общего хрома и общего брома методом рентгенофлуоресцентной спектрометрии»; Условия и сроки хранения: Условия хранения продукции в соответствии с ГОСТ 15150-69 "Машины,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среды". Срок хранения (службы, годности) указан в прилагаемой к продукции товаросопроводительной и/или эксплуатационной документации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Декларация о соответствии действительна с даты регистрации по 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09.11.2025</w:t>
            </w: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 включительно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М.П.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0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</w:rPr>
              <w:t xml:space="preserve">Клименко Александр Сергеевич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16"/>
                <w:b w:val="true"/>
              </w:rPr>
              <w:t xml:space="preserve">(подпись)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16"/>
                <w:b w:val="true"/>
              </w:rPr>
              <w:t xml:space="preserve">(Ф. И. О. заявителя)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Регистрационный номер декларации о соответствии: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10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</w:rPr>
              <w:t xml:space="preserve">ЕАЭС N RU Д-CN.РА08.В.10778/22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Дата регистрации декларации о соответствии: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0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</w:rPr>
              <w:t xml:space="preserve">11.11.2022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200" w:right="380" w:bottom="40" w:left="92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1.png" Type="http://schemas.openxmlformats.org/officeDocument/2006/relationships/image" Target="media/img_0_0_1.png"/>
 <Relationship Id="img_0_0_3.png" Type="http://schemas.openxmlformats.org/officeDocument/2006/relationships/image" Target="media/img_0_0_3.png"/>
</Relationships>

</file>

<file path=docProps/app.xml><?xml version="1.0" encoding="utf-8"?>
<Properties xmlns="http://schemas.openxmlformats.org/officeDocument/2006/extended-properties">
  <Application>JasperReports Library version 6.4.0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